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textAlignment w:val="auto"/>
        <w:rPr>
          <w:i w:val="0"/>
          <w:caps w:val="0"/>
          <w:color w:val="333333"/>
          <w:spacing w:val="0"/>
          <w:sz w:val="24"/>
          <w:szCs w:val="24"/>
          <w:shd w:val="clear" w:fill="FFFFFF"/>
        </w:rPr>
      </w:pPr>
      <w:r>
        <w:rPr>
          <w:rFonts w:hint="eastAsia"/>
          <w:i w:val="0"/>
          <w:caps w:val="0"/>
          <w:color w:val="333333"/>
          <w:spacing w:val="0"/>
          <w:sz w:val="24"/>
          <w:szCs w:val="24"/>
          <w:shd w:val="clear" w:fill="FFFFFF"/>
          <w:lang w:eastAsia="zh-CN"/>
        </w:rPr>
        <w:t>国融医养</w:t>
      </w:r>
      <w:r>
        <w:rPr>
          <w:i w:val="0"/>
          <w:caps w:val="0"/>
          <w:color w:val="333333"/>
          <w:spacing w:val="0"/>
          <w:sz w:val="24"/>
          <w:szCs w:val="24"/>
          <w:shd w:val="clear" w:fill="FFFFFF"/>
        </w:rPr>
        <w:t>开放平台个人护理类目资质标准</w:t>
      </w:r>
    </w:p>
    <w:p/>
    <w:tbl>
      <w:tblPr>
        <w:tblStyle w:val="4"/>
        <w:tblW w:w="0" w:type="auto"/>
        <w:tblInd w:w="150" w:type="dxa"/>
        <w:shd w:val="clear" w:color="auto" w:fill="FFFFFF"/>
        <w:tblLayout w:type="autofit"/>
        <w:tblCellMar>
          <w:top w:w="0" w:type="dxa"/>
          <w:left w:w="0" w:type="dxa"/>
          <w:bottom w:w="0" w:type="dxa"/>
          <w:right w:w="0" w:type="dxa"/>
        </w:tblCellMar>
      </w:tblPr>
      <w:tblGrid>
        <w:gridCol w:w="726"/>
        <w:gridCol w:w="6478"/>
        <w:gridCol w:w="4242"/>
        <w:gridCol w:w="4324"/>
      </w:tblGrid>
      <w:tr>
        <w:tblPrEx>
          <w:shd w:val="clear" w:color="auto" w:fill="FFFFFF"/>
          <w:tblCellMar>
            <w:top w:w="0" w:type="dxa"/>
            <w:left w:w="0" w:type="dxa"/>
            <w:bottom w:w="0" w:type="dxa"/>
            <w:right w:w="0" w:type="dxa"/>
          </w:tblCellMar>
        </w:tblPrEx>
        <w:trPr>
          <w:trHeight w:val="5680" w:hRule="atLeast"/>
        </w:trPr>
        <w:tc>
          <w:tcPr>
            <w:tcW w:w="0" w:type="auto"/>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Style w:val="6"/>
                <w:rFonts w:ascii="sans-serif" w:hAnsi="sans-serif" w:eastAsia="sans-serif" w:cs="sans-serif"/>
                <w:color w:val="00000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sans-serif" w:hAnsi="sans-serif" w:eastAsia="sans-serif" w:cs="sans-serif"/>
                <w:color w:val="000000"/>
                <w:sz w:val="20"/>
                <w:szCs w:val="20"/>
              </w:rPr>
            </w:pPr>
            <w:r>
              <w:rPr>
                <w:rStyle w:val="6"/>
                <w:rFonts w:ascii="sans-serif" w:hAnsi="sans-serif" w:eastAsia="sans-serif" w:cs="sans-serif"/>
                <w:color w:val="000000"/>
                <w:sz w:val="20"/>
                <w:szCs w:val="20"/>
              </w:rPr>
              <w:t>招商说明：</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1、暂不接受个体工商户性质企业入驻，非中国大陆企业入驻请选择入驻</w:t>
            </w:r>
            <w:r>
              <w:rPr>
                <w:rFonts w:hint="eastAsia" w:ascii="sans-serif" w:hAnsi="sans-serif" w:eastAsia="宋体" w:cs="sans-serif"/>
                <w:color w:val="000000"/>
                <w:sz w:val="20"/>
                <w:szCs w:val="20"/>
                <w:lang w:eastAsia="zh-CN"/>
              </w:rPr>
              <w:t>国融医养</w:t>
            </w:r>
            <w:r>
              <w:rPr>
                <w:rFonts w:hint="default" w:ascii="sans-serif" w:hAnsi="sans-serif" w:eastAsia="sans-serif" w:cs="sans-serif"/>
                <w:color w:val="000000"/>
                <w:sz w:val="20"/>
                <w:szCs w:val="20"/>
              </w:rPr>
              <w:t>国际。</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2、暂不接受消字号药膏、乳膏类产品、成人用品类产品入驻。</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3、以下品牌暂不接受入驻：百臻堂（Baizhentang）、NBB、享久、牛鲨、挺博士、契默契、伽勃、初感、延时龙水、JJM、key、TONO HIME、独爱（DUAI）、安可研（Uncle Yeah）、勃金、丽多丽亚（LIDORIA）、诱芷、安利。</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br w:type="textWrapping"/>
            </w:r>
            <w:r>
              <w:rPr>
                <w:rStyle w:val="6"/>
                <w:rFonts w:hint="default" w:ascii="sans-serif" w:hAnsi="sans-serif" w:eastAsia="sans-serif" w:cs="sans-serif"/>
                <w:color w:val="000000"/>
                <w:sz w:val="20"/>
                <w:szCs w:val="20"/>
              </w:rPr>
              <w:t>资质材料说明：</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1、商标注册证，如商标处于“注册申请受理”状态（即“TM”商标），应当不侵犯其它商标专用权。</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2、商标注册证，核定使用商品/服务项目必须包含供应商所申请产品在商标网中二级群组的相关品类。</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3、店铺授权，若商标权利人为自然人，则需同时提供身份证复印件加签字。</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4、委托加工协议（国产），若品牌权利人为生产方，无需提供；若商标注册人非生产方需提供，提供品牌权利人到生产商的完整授权，若品牌权利人为自然人，可由其法人公司与生产单位进行委托加工协议。</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5、3C认证范围：查询网址：</w:t>
            </w:r>
            <w:r>
              <w:rPr>
                <w:rFonts w:hint="default" w:ascii="等线" w:hAnsi="等线" w:eastAsia="等线" w:cs="等线"/>
                <w:color w:val="666666"/>
                <w:sz w:val="20"/>
                <w:szCs w:val="20"/>
                <w:u w:val="none"/>
              </w:rPr>
              <w:fldChar w:fldCharType="begin"/>
            </w:r>
            <w:r>
              <w:rPr>
                <w:rFonts w:hint="default" w:ascii="等线" w:hAnsi="等线" w:eastAsia="等线" w:cs="等线"/>
                <w:color w:val="666666"/>
                <w:sz w:val="20"/>
                <w:szCs w:val="20"/>
                <w:u w:val="none"/>
              </w:rPr>
              <w:instrText xml:space="preserve"> HYPERLINK "http://gkml.samr.gov.cn/nsjg/rzjgs/202004/t20200428_314776.html" </w:instrText>
            </w:r>
            <w:r>
              <w:rPr>
                <w:rFonts w:hint="default" w:ascii="等线" w:hAnsi="等线" w:eastAsia="等线" w:cs="等线"/>
                <w:color w:val="666666"/>
                <w:sz w:val="20"/>
                <w:szCs w:val="20"/>
                <w:u w:val="none"/>
              </w:rPr>
              <w:fldChar w:fldCharType="separate"/>
            </w:r>
            <w:r>
              <w:rPr>
                <w:rStyle w:val="7"/>
                <w:rFonts w:hint="default" w:ascii="sans-serif" w:hAnsi="sans-serif" w:eastAsia="sans-serif" w:cs="sans-serif"/>
                <w:color w:val="3598DB"/>
                <w:sz w:val="20"/>
                <w:szCs w:val="20"/>
                <w:u w:val="none"/>
                <w:shd w:val="clear" w:fill="FFFFFF"/>
              </w:rPr>
              <w:t>http://gkml.samr.gov.cn/nsjg/rzjgs/202004/t20200428_314776.html</w:t>
            </w:r>
            <w:r>
              <w:rPr>
                <w:rFonts w:hint="default" w:ascii="等线" w:hAnsi="等线" w:eastAsia="等线" w:cs="等线"/>
                <w:color w:val="666666"/>
                <w:sz w:val="20"/>
                <w:szCs w:val="20"/>
                <w:u w:val="none"/>
              </w:rPr>
              <w:fldChar w:fldCharType="end"/>
            </w:r>
            <w:r>
              <w:rPr>
                <w:rFonts w:hint="default" w:ascii="sans-serif" w:hAnsi="sans-serif" w:eastAsia="sans-serif" w:cs="sans-serif"/>
                <w:color w:val="000000"/>
                <w:sz w:val="20"/>
                <w:szCs w:val="20"/>
              </w:rPr>
              <w:t> 。</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6、所有资质均需要提供扫描原件或复印件加盖入驻公司红章，法人身份证复印件加签字。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sans-serif" w:hAnsi="sans-serif" w:eastAsia="sans-serif" w:cs="sans-serif"/>
                <w:color w:val="000000"/>
                <w:sz w:val="20"/>
                <w:szCs w:val="2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sans-serif" w:hAnsi="sans-serif" w:eastAsia="sans-serif" w:cs="sans-serif"/>
                <w:color w:val="000000"/>
                <w:sz w:val="20"/>
                <w:szCs w:val="20"/>
              </w:rPr>
            </w:pPr>
          </w:p>
        </w:tc>
      </w:tr>
      <w:tr>
        <w:tblPrEx>
          <w:shd w:val="clear" w:color="auto" w:fill="FFFFFF"/>
          <w:tblCellMar>
            <w:top w:w="0" w:type="dxa"/>
            <w:left w:w="0" w:type="dxa"/>
            <w:bottom w:w="0" w:type="dxa"/>
            <w:right w:w="0" w:type="dxa"/>
          </w:tblCellMar>
        </w:tblPrEx>
        <w:trPr>
          <w:trHeight w:val="312" w:hRule="atLeast"/>
        </w:trPr>
        <w:tc>
          <w:tcPr>
            <w:tcW w:w="0" w:type="auto"/>
            <w:gridSpan w:val="4"/>
            <w:tcBorders>
              <w:top w:val="nil"/>
              <w:left w:val="single" w:color="auto" w:sz="8" w:space="0"/>
              <w:bottom w:val="single" w:color="auto" w:sz="8" w:space="0"/>
              <w:right w:val="single" w:color="auto" w:sz="8" w:space="0"/>
            </w:tcBorders>
            <w:shd w:val="clear" w:color="auto" w:fill="C00000"/>
            <w:noWrap/>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店铺授权标准</w:t>
            </w:r>
          </w:p>
        </w:tc>
      </w:tr>
      <w:tr>
        <w:tblPrEx>
          <w:shd w:val="clear" w:color="auto" w:fill="FFFFFF"/>
          <w:tblCellMar>
            <w:top w:w="0" w:type="dxa"/>
            <w:left w:w="0" w:type="dxa"/>
            <w:bottom w:w="0" w:type="dxa"/>
            <w:right w:w="0" w:type="dxa"/>
          </w:tblCellMar>
        </w:tblPrEx>
        <w:trPr>
          <w:trHeight w:val="312" w:hRule="atLeast"/>
        </w:trPr>
        <w:tc>
          <w:tcPr>
            <w:tcW w:w="0" w:type="auto"/>
            <w:tcBorders>
              <w:top w:val="nil"/>
              <w:left w:val="single" w:color="auto" w:sz="8" w:space="0"/>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店铺类型</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旗舰店</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专卖店</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color w:val="FFFFFF"/>
                <w:sz w:val="20"/>
                <w:szCs w:val="20"/>
              </w:rPr>
              <w:t>专营店</w:t>
            </w:r>
          </w:p>
        </w:tc>
      </w:tr>
      <w:tr>
        <w:tblPrEx>
          <w:shd w:val="clear" w:color="auto" w:fill="FFFFFF"/>
          <w:tblCellMar>
            <w:top w:w="0" w:type="dxa"/>
            <w:left w:w="0" w:type="dxa"/>
            <w:bottom w:w="0" w:type="dxa"/>
            <w:right w:w="0" w:type="dxa"/>
          </w:tblCellMar>
        </w:tblPrEx>
        <w:trPr>
          <w:trHeight w:val="5207" w:hRule="atLeast"/>
        </w:trPr>
        <w:tc>
          <w:tcPr>
            <w:tcW w:w="0" w:type="auto"/>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color w:val="000000"/>
                <w:sz w:val="20"/>
                <w:szCs w:val="20"/>
              </w:rPr>
              <w:t>店铺授权</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Fonts w:hint="default" w:ascii="sans-serif" w:hAnsi="sans-serif" w:eastAsia="sans-serif" w:cs="sans-serif"/>
                <w:color w:val="000000"/>
                <w:sz w:val="20"/>
                <w:szCs w:val="20"/>
              </w:rPr>
              <w:t>1、若品牌权利人授权给入驻商开设旗舰店，需提供品牌权利人给入驻商的一级旗舰店的独占性授权。授权文件的详细内容，请见</w:t>
            </w:r>
            <w:r>
              <w:rPr>
                <w:rFonts w:hint="default" w:ascii="sans-serif" w:hAnsi="sans-serif" w:eastAsia="sans-serif" w:cs="sans-serif"/>
                <w:color w:val="3598DB"/>
                <w:sz w:val="20"/>
                <w:szCs w:val="20"/>
              </w:rPr>
              <w:t>《</w:t>
            </w:r>
            <w:r>
              <w:rPr>
                <w:rFonts w:hint="default" w:ascii="等线" w:hAnsi="等线" w:eastAsia="等线" w:cs="等线"/>
                <w:color w:val="666666"/>
                <w:sz w:val="20"/>
                <w:szCs w:val="20"/>
                <w:u w:val="none"/>
              </w:rPr>
              <w:fldChar w:fldCharType="begin"/>
            </w:r>
            <w:r>
              <w:rPr>
                <w:rFonts w:hint="default" w:ascii="等线" w:hAnsi="等线" w:eastAsia="等线" w:cs="等线"/>
                <w:color w:val="666666"/>
                <w:sz w:val="20"/>
                <w:szCs w:val="20"/>
                <w:u w:val="none"/>
              </w:rPr>
              <w:instrText xml:space="preserve"> HYPERLINK "http://helpcenter.jd.com/vender/issue/926-4279.html" </w:instrText>
            </w:r>
            <w:r>
              <w:rPr>
                <w:rFonts w:hint="default" w:ascii="等线" w:hAnsi="等线" w:eastAsia="等线" w:cs="等线"/>
                <w:color w:val="666666"/>
                <w:sz w:val="20"/>
                <w:szCs w:val="20"/>
                <w:u w:val="none"/>
              </w:rPr>
              <w:fldChar w:fldCharType="separate"/>
            </w:r>
            <w:r>
              <w:rPr>
                <w:rStyle w:val="7"/>
                <w:rFonts w:hint="default" w:ascii="等线" w:hAnsi="等线" w:eastAsia="等线" w:cs="等线"/>
                <w:color w:val="3598DB"/>
                <w:sz w:val="20"/>
                <w:szCs w:val="20"/>
                <w:u w:val="none"/>
              </w:rPr>
              <w:t>旗舰店授权书</w:t>
            </w:r>
            <w:r>
              <w:rPr>
                <w:rFonts w:hint="default" w:ascii="等线" w:hAnsi="等线" w:eastAsia="等线" w:cs="等线"/>
                <w:color w:val="666666"/>
                <w:sz w:val="20"/>
                <w:szCs w:val="20"/>
                <w:u w:val="none"/>
              </w:rPr>
              <w:fldChar w:fldCharType="end"/>
            </w:r>
            <w:r>
              <w:rPr>
                <w:rFonts w:hint="default" w:ascii="等线" w:hAnsi="等线" w:eastAsia="等线" w:cs="等线"/>
                <w:color w:val="3598DB"/>
                <w:sz w:val="20"/>
                <w:szCs w:val="20"/>
              </w:rPr>
              <w:t>》</w:t>
            </w:r>
            <w:r>
              <w:rPr>
                <w:rFonts w:hint="default" w:ascii="sans-serif" w:hAnsi="sans-serif" w:eastAsia="sans-serif" w:cs="sans-serif"/>
                <w:color w:val="000000"/>
                <w:sz w:val="20"/>
                <w:szCs w:val="20"/>
              </w:rPr>
              <w:t>。</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2、若卖场型品牌商标权人开设的旗舰店，需提供服务类商标注册证或商标注册申请受理通知书，若售卖的产品不是自有品牌还需提供商持方对入驻商的排他授权书。</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3、若经营出售多个自有品牌的旗舰店，需提供品牌属于同一实际控制人的证明材料。</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Fonts w:hint="default" w:ascii="sans-serif" w:hAnsi="sans-serif" w:eastAsia="sans-serif" w:cs="sans-serif"/>
                <w:color w:val="000000"/>
                <w:sz w:val="20"/>
                <w:szCs w:val="20"/>
              </w:rPr>
              <w:t>1、由商标权利人到入驻商家销售其品牌商品依次授权（授权链必须完整有效，不得有地域限制）。</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2、若经营出售多个品牌的专卖店，申请的多个品牌都应属于同一商标权利人。</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Fonts w:hint="default" w:ascii="sans-serif" w:hAnsi="sans-serif" w:eastAsia="sans-serif" w:cs="sans-serif"/>
                <w:color w:val="000000"/>
                <w:sz w:val="20"/>
                <w:szCs w:val="20"/>
              </w:rPr>
              <w:t>1、由商标权利人到入驻商家销售其品牌商品的依次授权（授权链必须完整有效，不得有地域限制）。</w:t>
            </w:r>
            <w:r>
              <w:rPr>
                <w:rFonts w:hint="default" w:ascii="sans-serif" w:hAnsi="sans-serif" w:eastAsia="sans-serif" w:cs="sans-serif"/>
                <w:color w:val="000000"/>
                <w:sz w:val="20"/>
                <w:szCs w:val="20"/>
              </w:rPr>
              <w:br w:type="textWrapping"/>
            </w:r>
            <w:r>
              <w:rPr>
                <w:rFonts w:hint="default" w:ascii="sans-serif" w:hAnsi="sans-serif" w:eastAsia="sans-serif" w:cs="sans-serif"/>
                <w:color w:val="000000"/>
                <w:sz w:val="20"/>
                <w:szCs w:val="20"/>
              </w:rPr>
              <w:t>2、专营店命名不得带有商品品牌名称。</w:t>
            </w:r>
          </w:p>
        </w:tc>
      </w:tr>
    </w:tbl>
    <w:p/>
    <w:p/>
    <w:p/>
    <w:p/>
    <w:p/>
    <w:p/>
    <w:p/>
    <w:p/>
    <w:p/>
    <w:p/>
    <w:p/>
    <w:p/>
    <w:p/>
    <w:p/>
    <w:p/>
    <w:p/>
    <w:tbl>
      <w:tblPr>
        <w:tblStyle w:val="4"/>
        <w:tblW w:w="0" w:type="auto"/>
        <w:tblInd w:w="150" w:type="dxa"/>
        <w:shd w:val="clear" w:color="auto" w:fill="FFFFFF"/>
        <w:tblLayout w:type="autofit"/>
        <w:tblCellMar>
          <w:top w:w="0" w:type="dxa"/>
          <w:left w:w="0" w:type="dxa"/>
          <w:bottom w:w="0" w:type="dxa"/>
          <w:right w:w="0" w:type="dxa"/>
        </w:tblCellMar>
      </w:tblPr>
      <w:tblGrid>
        <w:gridCol w:w="1020"/>
        <w:gridCol w:w="1524"/>
        <w:gridCol w:w="3474"/>
        <w:gridCol w:w="5497"/>
        <w:gridCol w:w="670"/>
        <w:gridCol w:w="3585"/>
      </w:tblGrid>
      <w:tr>
        <w:tblPrEx>
          <w:shd w:val="clear" w:color="auto" w:fill="FFFFFF"/>
          <w:tblCellMar>
            <w:top w:w="0" w:type="dxa"/>
            <w:left w:w="0" w:type="dxa"/>
            <w:bottom w:w="0" w:type="dxa"/>
            <w:right w:w="0" w:type="dxa"/>
          </w:tblCellMar>
        </w:tblPrEx>
        <w:trPr>
          <w:trHeight w:val="312" w:hRule="atLeast"/>
        </w:trPr>
        <w:tc>
          <w:tcPr>
            <w:tcW w:w="15573" w:type="dxa"/>
            <w:gridSpan w:val="6"/>
            <w:tcBorders>
              <w:top w:val="nil"/>
              <w:left w:val="single" w:color="auto" w:sz="8" w:space="0"/>
              <w:bottom w:val="single" w:color="auto" w:sz="8" w:space="0"/>
              <w:right w:val="single" w:color="auto" w:sz="8" w:space="0"/>
            </w:tcBorders>
            <w:shd w:val="clear" w:color="auto" w:fill="C00000"/>
            <w:noWrap/>
            <w:tcMar>
              <w:left w:w="108" w:type="dxa"/>
              <w:right w:w="108"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ascii="等线" w:hAnsi="等线" w:eastAsia="等线" w:cs="等线"/>
                <w:sz w:val="21"/>
                <w:szCs w:val="21"/>
              </w:rPr>
            </w:pPr>
            <w:r>
              <w:rPr>
                <w:rStyle w:val="6"/>
                <w:rFonts w:ascii="sans-serif" w:hAnsi="sans-serif" w:eastAsia="sans-serif" w:cs="sans-serif"/>
                <w:i w:val="0"/>
                <w:caps w:val="0"/>
                <w:color w:val="FFFFFF"/>
                <w:spacing w:val="0"/>
                <w:sz w:val="20"/>
                <w:szCs w:val="20"/>
              </w:rPr>
              <w:t>公司/品牌/行业资质标准</w:t>
            </w:r>
          </w:p>
        </w:tc>
      </w:tr>
      <w:tr>
        <w:tblPrEx>
          <w:tblCellMar>
            <w:top w:w="0" w:type="dxa"/>
            <w:left w:w="0" w:type="dxa"/>
            <w:bottom w:w="0" w:type="dxa"/>
            <w:right w:w="0" w:type="dxa"/>
          </w:tblCellMar>
        </w:tblPrEx>
        <w:trPr>
          <w:trHeight w:val="324" w:hRule="atLeast"/>
        </w:trPr>
        <w:tc>
          <w:tcPr>
            <w:tcW w:w="0" w:type="auto"/>
            <w:tcBorders>
              <w:top w:val="nil"/>
              <w:left w:val="single" w:color="auto" w:sz="8" w:space="0"/>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一级类目</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二级类目</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公司资质</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品牌资质</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行业资质</w:t>
            </w:r>
          </w:p>
        </w:tc>
        <w:tc>
          <w:tcPr>
            <w:tcW w:w="3585" w:type="dxa"/>
            <w:tcBorders>
              <w:top w:val="nil"/>
              <w:left w:val="nil"/>
              <w:bottom w:val="single" w:color="auto" w:sz="8" w:space="0"/>
              <w:right w:val="single" w:color="auto" w:sz="8" w:space="0"/>
            </w:tcBorders>
            <w:shd w:val="clear" w:color="auto" w:fill="C00000"/>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FFFFFF"/>
                <w:spacing w:val="0"/>
                <w:sz w:val="20"/>
                <w:szCs w:val="20"/>
              </w:rPr>
              <w:t>特殊资质项补充</w:t>
            </w:r>
          </w:p>
        </w:tc>
      </w:tr>
      <w:tr>
        <w:tblPrEx>
          <w:tblCellMar>
            <w:top w:w="0" w:type="dxa"/>
            <w:left w:w="0" w:type="dxa"/>
            <w:bottom w:w="0" w:type="dxa"/>
            <w:right w:w="0" w:type="dxa"/>
          </w:tblCellMar>
        </w:tblPrEx>
        <w:trPr>
          <w:trHeight w:val="1170" w:hRule="atLeast"/>
        </w:trPr>
        <w:tc>
          <w:tcPr>
            <w:tcW w:w="0" w:type="auto"/>
            <w:vMerge w:val="restar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个人护理</w:t>
            </w:r>
          </w:p>
        </w:tc>
        <w:tc>
          <w:tcPr>
            <w:tcW w:w="0" w:type="auto"/>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洗发护发</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0" w:right="0"/>
              <w:jc w:val="left"/>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1、营业执照：</w:t>
            </w:r>
            <w:r>
              <w:rPr>
                <w:rFonts w:hint="default" w:ascii="sans-serif" w:hAnsi="sans-serif" w:eastAsia="sans-serif" w:cs="sans-serif"/>
                <w:i w:val="0"/>
                <w:caps w:val="0"/>
                <w:color w:val="000000"/>
                <w:spacing w:val="0"/>
                <w:sz w:val="20"/>
                <w:szCs w:val="20"/>
              </w:rPr>
              <w:t>加载“统一社会信用代码”的营业执照，注册资本不低于50万人民币（需确保未在企业经营异常名录中且所售商品在营业执照经营范围内）。</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2、企业法人身份证：</w:t>
            </w:r>
            <w:r>
              <w:rPr>
                <w:rFonts w:hint="default" w:ascii="sans-serif" w:hAnsi="sans-serif" w:eastAsia="sans-serif" w:cs="sans-serif"/>
                <w:i w:val="0"/>
                <w:caps w:val="0"/>
                <w:color w:val="000000"/>
                <w:spacing w:val="0"/>
                <w:sz w:val="20"/>
                <w:szCs w:val="20"/>
              </w:rPr>
              <w:t>公司法人身份证正反面，有效期大于60天。</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Style w:val="6"/>
                <w:rFonts w:hint="default" w:ascii="sans-serif" w:hAnsi="sans-serif" w:eastAsia="sans-serif" w:cs="sans-serif"/>
                <w:i w:val="0"/>
                <w:caps w:val="0"/>
                <w:color w:val="000000"/>
                <w:spacing w:val="0"/>
                <w:sz w:val="20"/>
                <w:szCs w:val="20"/>
              </w:rPr>
              <w:t>1、商标注册证/商标注册申请受理通知书：</w:t>
            </w:r>
            <w:r>
              <w:rPr>
                <w:rFonts w:hint="default" w:ascii="sans-serif" w:hAnsi="sans-serif" w:eastAsia="sans-serif" w:cs="sans-serif"/>
                <w:i w:val="0"/>
                <w:caps w:val="0"/>
                <w:color w:val="000000"/>
                <w:spacing w:val="0"/>
                <w:sz w:val="20"/>
                <w:szCs w:val="20"/>
              </w:rPr>
              <w:t>①由国家商标总局颁发的商标注册证（R标）或商标注册申请受理通知书（TM标），若商标发生过转让/变更/续展，需提供相应证明；②若经营进口商品，进口品牌需提供国内商标注册证（若提交的是马德里商标，需提供领土延伸证明）。</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2、销售授权书</w:t>
            </w:r>
            <w:r>
              <w:rPr>
                <w:rFonts w:hint="default" w:ascii="sans-serif" w:hAnsi="sans-serif" w:eastAsia="sans-serif" w:cs="sans-serif"/>
                <w:i w:val="0"/>
                <w:caps w:val="0"/>
                <w:color w:val="000000"/>
                <w:spacing w:val="0"/>
                <w:sz w:val="20"/>
                <w:szCs w:val="20"/>
              </w:rPr>
              <w:t>：以商标持有人为源头出发的，授权至公司主体的完整授权链条。</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3、生产单位营业执照：</w:t>
            </w:r>
            <w:r>
              <w:rPr>
                <w:rFonts w:hint="default" w:ascii="sans-serif" w:hAnsi="sans-serif" w:eastAsia="sans-serif" w:cs="sans-serif"/>
                <w:i w:val="0"/>
                <w:caps w:val="0"/>
                <w:color w:val="000000"/>
                <w:spacing w:val="0"/>
                <w:sz w:val="20"/>
                <w:szCs w:val="20"/>
              </w:rPr>
              <w:t>企业名称需与检验报告生产单位企业一致。</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4、化妆品生产许可证：</w:t>
            </w:r>
            <w:r>
              <w:rPr>
                <w:rFonts w:hint="default" w:ascii="sans-serif" w:hAnsi="sans-serif" w:eastAsia="sans-serif" w:cs="sans-serif"/>
                <w:i w:val="0"/>
                <w:caps w:val="0"/>
                <w:color w:val="000000"/>
                <w:spacing w:val="0"/>
                <w:sz w:val="20"/>
                <w:szCs w:val="20"/>
              </w:rPr>
              <w:t>生产类别需与检验报告产品相符。</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5、委托加工协议（经营国产商品）：</w:t>
            </w:r>
            <w:r>
              <w:rPr>
                <w:rFonts w:hint="default" w:ascii="sans-serif" w:hAnsi="sans-serif" w:eastAsia="sans-serif" w:cs="sans-serif"/>
                <w:i w:val="0"/>
                <w:caps w:val="0"/>
                <w:color w:val="000000"/>
                <w:spacing w:val="0"/>
                <w:sz w:val="20"/>
                <w:szCs w:val="20"/>
              </w:rPr>
              <w:t>经营产品非自产需提供与生产方的委托加工协议。</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6、报关单（经营进口商品）：</w:t>
            </w:r>
            <w:r>
              <w:rPr>
                <w:rFonts w:hint="default" w:ascii="sans-serif" w:hAnsi="sans-serif" w:eastAsia="sans-serif" w:cs="sans-serif"/>
                <w:i w:val="0"/>
                <w:caps w:val="0"/>
                <w:color w:val="000000"/>
                <w:spacing w:val="0"/>
                <w:sz w:val="20"/>
                <w:szCs w:val="20"/>
              </w:rPr>
              <w:t>近四年内的中华人民共和国海关进口货物报关单，报关单上应展现对应品牌名称，及商品名称。</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7、委托进口协议（经营进口商品）</w:t>
            </w:r>
            <w:r>
              <w:rPr>
                <w:rFonts w:hint="default" w:ascii="sans-serif" w:hAnsi="sans-serif" w:eastAsia="sans-serif" w:cs="sans-serif"/>
                <w:i w:val="0"/>
                <w:caps w:val="0"/>
                <w:color w:val="000000"/>
                <w:spacing w:val="0"/>
                <w:sz w:val="20"/>
                <w:szCs w:val="20"/>
              </w:rPr>
              <w:t>：报关单上的经营单位或收货单位不在授权链上，需提供委托报关授权。</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8、特殊用途化妆品备案凭证：</w:t>
            </w:r>
            <w:r>
              <w:rPr>
                <w:rFonts w:hint="default" w:ascii="sans-serif" w:hAnsi="sans-serif" w:eastAsia="sans-serif" w:cs="sans-serif"/>
                <w:i w:val="0"/>
                <w:caps w:val="0"/>
                <w:color w:val="000000"/>
                <w:spacing w:val="0"/>
                <w:sz w:val="20"/>
                <w:szCs w:val="20"/>
              </w:rPr>
              <w:t>经营育发、染发、烫发、脱毛、美乳、健美、除臭、祛斑、防晒、美白需提供特殊用途化妆品卫生许可批件。</w:t>
            </w:r>
            <w:r>
              <w:rPr>
                <w:rFonts w:hint="default" w:ascii="sans-serif" w:hAnsi="sans-serif" w:eastAsia="sans-serif" w:cs="sans-serif"/>
                <w:i w:val="0"/>
                <w:caps w:val="0"/>
                <w:color w:val="000000"/>
                <w:spacing w:val="0"/>
                <w:sz w:val="20"/>
                <w:szCs w:val="20"/>
              </w:rPr>
              <w:br w:type="textWrapping"/>
            </w:r>
            <w:r>
              <w:rPr>
                <w:rStyle w:val="6"/>
                <w:rFonts w:hint="default" w:ascii="sans-serif" w:hAnsi="sans-serif" w:eastAsia="sans-serif" w:cs="sans-serif"/>
                <w:i w:val="0"/>
                <w:caps w:val="0"/>
                <w:color w:val="000000"/>
                <w:spacing w:val="0"/>
                <w:sz w:val="20"/>
                <w:szCs w:val="20"/>
              </w:rPr>
              <w:t>9、非特殊用途化妆品备案凭证：</w:t>
            </w:r>
            <w:r>
              <w:rPr>
                <w:rFonts w:hint="default" w:ascii="sans-serif" w:hAnsi="sans-serif" w:eastAsia="sans-serif" w:cs="sans-serif"/>
                <w:i w:val="0"/>
                <w:caps w:val="0"/>
                <w:color w:val="000000"/>
                <w:spacing w:val="0"/>
                <w:sz w:val="20"/>
                <w:szCs w:val="20"/>
              </w:rPr>
              <w:t>经营其他化妆品需提供非特殊用途化妆品备案凭证。</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404040"/>
                <w:spacing w:val="0"/>
                <w:sz w:val="20"/>
                <w:szCs w:val="20"/>
              </w:rPr>
              <w:t>/</w:t>
            </w:r>
          </w:p>
        </w:tc>
        <w:tc>
          <w:tcPr>
            <w:tcW w:w="358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Style w:val="6"/>
                <w:rFonts w:hint="default" w:ascii="sans-serif" w:hAnsi="sans-serif" w:eastAsia="sans-serif" w:cs="sans-serif"/>
                <w:i w:val="0"/>
                <w:caps w:val="0"/>
                <w:color w:val="404040"/>
                <w:spacing w:val="0"/>
                <w:sz w:val="20"/>
                <w:szCs w:val="20"/>
              </w:rPr>
              <w:t> /</w:t>
            </w:r>
          </w:p>
        </w:tc>
      </w:tr>
      <w:tr>
        <w:tblPrEx>
          <w:tblCellMar>
            <w:top w:w="0" w:type="dxa"/>
            <w:left w:w="0" w:type="dxa"/>
            <w:bottom w:w="0" w:type="dxa"/>
            <w:right w:w="0" w:type="dxa"/>
          </w:tblCellMar>
        </w:tblPrEx>
        <w:trPr>
          <w:trHeight w:val="1950" w:hRule="atLeast"/>
        </w:trPr>
        <w:tc>
          <w:tcPr>
            <w:tcW w:w="0" w:type="auto"/>
            <w:vMerge w:val="continue"/>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美发假发/造型</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35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Fonts w:hint="default" w:ascii="sans-serif" w:hAnsi="sans-serif" w:eastAsia="sans-serif" w:cs="sans-serif"/>
                <w:i w:val="0"/>
                <w:caps w:val="0"/>
                <w:color w:val="404040"/>
                <w:spacing w:val="0"/>
                <w:sz w:val="20"/>
                <w:szCs w:val="20"/>
              </w:rPr>
              <w:t>经营卷发棒等国家强制性认证产品需提供：CCC认证。</w:t>
            </w:r>
          </w:p>
        </w:tc>
      </w:tr>
      <w:tr>
        <w:tblPrEx>
          <w:tblCellMar>
            <w:top w:w="0" w:type="dxa"/>
            <w:left w:w="0" w:type="dxa"/>
            <w:bottom w:w="0" w:type="dxa"/>
            <w:right w:w="0" w:type="dxa"/>
          </w:tblCellMar>
        </w:tblPrEx>
        <w:trPr>
          <w:trHeight w:val="1929" w:hRule="atLeast"/>
        </w:trPr>
        <w:tc>
          <w:tcPr>
            <w:tcW w:w="0" w:type="auto"/>
            <w:vMerge w:val="continue"/>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身体护理</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35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1、经营国产花露水需提供农药产品生产许可证（或者农药生产批准证书）或全国工业生产许可证（农药产品）和农药登记证（或者农药临时登记证），进口产品需提供农药登记证；</w:t>
            </w:r>
          </w:p>
        </w:tc>
      </w:tr>
      <w:tr>
        <w:tblPrEx>
          <w:tblCellMar>
            <w:top w:w="0" w:type="dxa"/>
            <w:left w:w="0" w:type="dxa"/>
            <w:bottom w:w="0" w:type="dxa"/>
            <w:right w:w="0" w:type="dxa"/>
          </w:tblCellMar>
        </w:tblPrEx>
        <w:trPr>
          <w:trHeight w:val="1702" w:hRule="atLeast"/>
        </w:trPr>
        <w:tc>
          <w:tcPr>
            <w:tcW w:w="0" w:type="auto"/>
            <w:vMerge w:val="continue"/>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女性护理</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35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default" w:ascii="等线" w:hAnsi="等线" w:eastAsia="等线" w:cs="等线"/>
                <w:sz w:val="21"/>
                <w:szCs w:val="21"/>
              </w:rPr>
            </w:pPr>
            <w:r>
              <w:rPr>
                <w:rFonts w:hint="default" w:ascii="sans-serif" w:hAnsi="sans-serif" w:eastAsia="sans-serif" w:cs="sans-serif"/>
                <w:i w:val="0"/>
                <w:caps w:val="0"/>
                <w:color w:val="404040"/>
                <w:spacing w:val="0"/>
                <w:sz w:val="20"/>
                <w:szCs w:val="20"/>
              </w:rPr>
              <w:t>经营男女士卫生洗液、卫生巾、护垫、成人护理纸尿用品、具有抑菌、抗菌、杀菌功能的相关商品等需提供：消毒产品生产企业卫生许可证。</w:t>
            </w:r>
          </w:p>
        </w:tc>
      </w:tr>
      <w:tr>
        <w:tblPrEx>
          <w:tblCellMar>
            <w:top w:w="0" w:type="dxa"/>
            <w:left w:w="0" w:type="dxa"/>
            <w:bottom w:w="0" w:type="dxa"/>
            <w:right w:w="0" w:type="dxa"/>
          </w:tblCellMar>
        </w:tblPrEx>
        <w:trPr>
          <w:trHeight w:val="549" w:hRule="atLeast"/>
        </w:trPr>
        <w:tc>
          <w:tcPr>
            <w:tcW w:w="0" w:type="auto"/>
            <w:vMerge w:val="continue"/>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口腔护理</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Helvetica" w:hAnsi="Helvetica" w:eastAsia="Helvetica" w:cs="Helvetica"/>
                <w:i w:val="0"/>
                <w:caps w:val="0"/>
                <w:color w:val="000000"/>
                <w:spacing w:val="0"/>
                <w:sz w:val="18"/>
                <w:szCs w:val="18"/>
              </w:rPr>
            </w:pPr>
          </w:p>
        </w:tc>
        <w:tc>
          <w:tcPr>
            <w:tcW w:w="358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等线" w:hAnsi="等线" w:eastAsia="等线" w:cs="等线"/>
                <w:sz w:val="21"/>
                <w:szCs w:val="21"/>
              </w:rPr>
            </w:pPr>
            <w:r>
              <w:rPr>
                <w:rFonts w:hint="default" w:ascii="sans-serif" w:hAnsi="sans-serif" w:eastAsia="sans-serif" w:cs="sans-serif"/>
                <w:i w:val="0"/>
                <w:caps w:val="0"/>
                <w:color w:val="404040"/>
                <w:spacing w:val="0"/>
                <w:sz w:val="20"/>
                <w:szCs w:val="2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1. </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开放平台商家的行为，发生在本管理标准生效之日以前的，适用当时的标准。发生在本管理标准生效之日以后的，适用本标准。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2. </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可根据平台运营情况随时调整本管理标准并向商家公示。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3. 商家应遵守国家法律、行政法规、部门规章等规范性文件。对任何涉嫌违反国家法律、行政法规、部门规章等规范性文件的行为，本标准已有规定的，适用于本标准。本标准尚无规定的，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有权酌情处理。但</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对商家的处理不免除其应承担的法律责任。商家在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的任何行为，应同时遵守与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及其关联公司签订的各项协议。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r>
        <w:rPr>
          <w:rStyle w:val="6"/>
          <w:rFonts w:hint="default" w:ascii="sans-serif" w:hAnsi="sans-serif" w:eastAsia="sans-serif" w:cs="sans-serif"/>
          <w:i w:val="0"/>
          <w:caps w:val="0"/>
          <w:color w:val="000000"/>
          <w:spacing w:val="0"/>
          <w:sz w:val="20"/>
          <w:szCs w:val="20"/>
          <w:shd w:val="clear" w:fill="FFFFFF"/>
        </w:rPr>
        <w:t>     </w:t>
      </w:r>
      <w:r>
        <w:rPr>
          <w:rFonts w:hint="default" w:ascii="sans-serif" w:hAnsi="sans-serif" w:eastAsia="sans-serif" w:cs="sans-serif"/>
          <w:i w:val="0"/>
          <w:caps w:val="0"/>
          <w:color w:val="000000"/>
          <w:spacing w:val="0"/>
          <w:sz w:val="20"/>
          <w:szCs w:val="20"/>
          <w:shd w:val="clear" w:fill="FFFFFF"/>
        </w:rPr>
        <w:t>4. 本标准于2022年1月26日修订，于2022年2月2日生效。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平台规则欢迎每位商家为我们提供建议，可邮件至</w:t>
      </w:r>
      <w:r>
        <w:rPr>
          <w:rFonts w:hint="eastAsia"/>
          <w:i w:val="0"/>
          <w:caps w:val="0"/>
          <w:color w:val="333333"/>
          <w:spacing w:val="0"/>
          <w:sz w:val="24"/>
          <w:szCs w:val="24"/>
          <w:shd w:val="clear" w:fill="FFFFFF"/>
          <w:lang w:val="en-US" w:eastAsia="zh-CN"/>
        </w:rPr>
        <w:t>gryyzhkj@163.com</w:t>
      </w:r>
      <w:bookmarkStart w:id="0" w:name="_GoBack"/>
      <w:bookmarkEnd w:id="0"/>
      <w:r>
        <w:rPr>
          <w:rFonts w:hint="default" w:ascii="sans-serif" w:hAnsi="sans-serif" w:eastAsia="sans-serif" w:cs="sans-serif"/>
          <w:i w:val="0"/>
          <w:caps w:val="0"/>
          <w:color w:val="000000"/>
          <w:spacing w:val="0"/>
          <w:sz w:val="20"/>
          <w:szCs w:val="20"/>
          <w:shd w:val="clear" w:fill="FFFFFF"/>
        </w:rPr>
        <w:t>，谢谢。</w:t>
      </w:r>
    </w:p>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ans-serif">
    <w:altName w:val="Latha"/>
    <w:panose1 w:val="00000000000000000000"/>
    <w:charset w:val="00"/>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30B14ED0"/>
    <w:rsid w:val="3EE1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2022-09-14T02:24:11Z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